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46D13DBB" w:rsidR="00AB188C" w:rsidRPr="00777CA4" w:rsidRDefault="000933C8" w:rsidP="00AB188C">
      <w:pPr>
        <w:tabs>
          <w:tab w:val="right" w:pos="9781"/>
        </w:tabs>
        <w:rPr>
          <w:rFonts w:ascii="Arial" w:eastAsia="游明朝"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D732C5">
        <w:rPr>
          <w:rFonts w:ascii="Arial" w:hAnsi="Arial" w:cs="Arial"/>
          <w:b/>
          <w:noProof/>
          <w:sz w:val="24"/>
          <w:szCs w:val="24"/>
        </w:rPr>
        <w:t>54</w:t>
      </w:r>
      <w:r w:rsidR="00AB188C">
        <w:rPr>
          <w:rFonts w:ascii="Arial" w:hAnsi="Arial" w:cs="Arial"/>
          <w:b/>
          <w:noProof/>
          <w:sz w:val="24"/>
          <w:szCs w:val="24"/>
        </w:rPr>
        <w:tab/>
      </w:r>
      <w:r w:rsidR="00F60D6D" w:rsidRPr="00F60D6D">
        <w:rPr>
          <w:rFonts w:ascii="Arial" w:hAnsi="Arial" w:cs="Arial"/>
          <w:b/>
          <w:bCs/>
          <w:color w:val="auto"/>
          <w:sz w:val="26"/>
          <w:szCs w:val="26"/>
        </w:rPr>
        <w:t>S2-220</w:t>
      </w:r>
      <w:r w:rsidR="00031AE5">
        <w:rPr>
          <w:rFonts w:ascii="Arial" w:eastAsia="游明朝" w:hAnsi="Arial" w:cs="Arial"/>
          <w:b/>
          <w:bCs/>
          <w:color w:val="auto"/>
          <w:sz w:val="26"/>
          <w:szCs w:val="26"/>
        </w:rPr>
        <w:t>0239</w:t>
      </w:r>
    </w:p>
    <w:p w14:paraId="0751D435" w14:textId="3F8ED930" w:rsidR="00AB188C" w:rsidRPr="00471B80" w:rsidRDefault="000933C8" w:rsidP="00AB188C">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Online, </w:t>
      </w:r>
      <w:r w:rsidR="00D732C5">
        <w:rPr>
          <w:rFonts w:ascii="Arial" w:hAnsi="Arial" w:cs="Arial"/>
          <w:b/>
          <w:noProof/>
          <w:sz w:val="24"/>
        </w:rPr>
        <w:t xml:space="preserve">January </w:t>
      </w:r>
      <w:r w:rsidR="00AB188C">
        <w:rPr>
          <w:rFonts w:ascii="Arial" w:hAnsi="Arial" w:cs="Arial"/>
          <w:b/>
          <w:noProof/>
          <w:sz w:val="24"/>
        </w:rPr>
        <w:t>1</w:t>
      </w:r>
      <w:r w:rsidR="00D732C5">
        <w:rPr>
          <w:rFonts w:ascii="Arial" w:hAnsi="Arial" w:cs="Arial"/>
          <w:b/>
          <w:noProof/>
          <w:sz w:val="24"/>
        </w:rPr>
        <w:t>6</w:t>
      </w:r>
      <w:r>
        <w:rPr>
          <w:rFonts w:ascii="Arial" w:hAnsi="Arial" w:cs="Arial"/>
          <w:b/>
          <w:noProof/>
          <w:sz w:val="24"/>
        </w:rPr>
        <w:t>th</w:t>
      </w:r>
      <w:r w:rsidR="00AB188C">
        <w:rPr>
          <w:rFonts w:ascii="Arial" w:hAnsi="Arial" w:cs="Arial"/>
          <w:b/>
          <w:noProof/>
          <w:sz w:val="24"/>
        </w:rPr>
        <w:t xml:space="preserve"> – 2</w:t>
      </w:r>
      <w:r w:rsidR="00D732C5">
        <w:rPr>
          <w:rFonts w:ascii="Arial" w:hAnsi="Arial" w:cs="Arial"/>
          <w:b/>
          <w:noProof/>
          <w:sz w:val="24"/>
        </w:rPr>
        <w:t>0</w:t>
      </w:r>
      <w:r>
        <w:rPr>
          <w:rFonts w:ascii="Arial" w:hAnsi="Arial" w:cs="Arial"/>
          <w:b/>
          <w:noProof/>
          <w:sz w:val="24"/>
        </w:rPr>
        <w:t>th</w:t>
      </w:r>
      <w:r w:rsidR="00AB188C">
        <w:rPr>
          <w:rFonts w:ascii="Arial" w:hAnsi="Arial" w:cs="Arial"/>
          <w:b/>
          <w:noProof/>
          <w:sz w:val="24"/>
        </w:rPr>
        <w:t xml:space="preserve"> </w:t>
      </w:r>
      <w:r w:rsidR="00AB188C" w:rsidRPr="003D0874">
        <w:rPr>
          <w:rFonts w:ascii="Arial" w:hAnsi="Arial" w:cs="Arial"/>
          <w:b/>
          <w:noProof/>
          <w:sz w:val="24"/>
        </w:rPr>
        <w:t xml:space="preserve">February </w:t>
      </w:r>
      <w:r w:rsidR="00AB188C" w:rsidRPr="002F1C4D">
        <w:rPr>
          <w:rFonts w:ascii="Arial" w:hAnsi="Arial" w:cs="Arial"/>
          <w:b/>
          <w:noProof/>
          <w:sz w:val="24"/>
        </w:rPr>
        <w:t>20</w:t>
      </w:r>
      <w:r w:rsidR="00AB188C">
        <w:rPr>
          <w:rFonts w:ascii="Arial" w:hAnsi="Arial" w:cs="Arial"/>
          <w:b/>
          <w:noProof/>
          <w:sz w:val="24"/>
        </w:rPr>
        <w:t>2</w:t>
      </w:r>
      <w:r w:rsidR="00AE13C2">
        <w:rPr>
          <w:rFonts w:ascii="Arial" w:hAnsi="Arial" w:cs="Arial"/>
          <w:b/>
          <w:noProof/>
          <w:sz w:val="24"/>
        </w:rPr>
        <w:t>3</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5B995E3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D732C5">
        <w:rPr>
          <w:rFonts w:ascii="Arial" w:hAnsi="Arial" w:cs="Arial"/>
          <w:b/>
        </w:rPr>
        <w:t xml:space="preserve">Discussion on </w:t>
      </w:r>
      <w:r w:rsidR="00FA7DD5">
        <w:rPr>
          <w:rFonts w:ascii="Arial" w:hAnsi="Arial" w:cs="Arial"/>
          <w:b/>
        </w:rPr>
        <w:t>PSAP</w:t>
      </w:r>
      <w:r w:rsidR="00707E06" w:rsidRPr="0016710E">
        <w:rPr>
          <w:rFonts w:ascii="Arial" w:hAnsi="Arial" w:cs="Arial"/>
          <w:b/>
        </w:rPr>
        <w:t xml:space="preserve"> </w:t>
      </w:r>
      <w:r w:rsidR="00FA7DD5">
        <w:rPr>
          <w:rFonts w:ascii="Arial" w:hAnsi="Arial" w:cs="Arial"/>
          <w:b/>
        </w:rPr>
        <w:t xml:space="preserve">resolution </w:t>
      </w:r>
      <w:r w:rsidR="00D732C5">
        <w:rPr>
          <w:rFonts w:ascii="Arial" w:hAnsi="Arial" w:cs="Arial"/>
          <w:b/>
        </w:rPr>
        <w:t>with UE mobility analytics</w:t>
      </w:r>
    </w:p>
    <w:p w14:paraId="6B5F945F" w14:textId="5F67F484"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D732C5">
        <w:rPr>
          <w:rFonts w:ascii="Arial" w:hAnsi="Arial" w:cs="Arial"/>
          <w:b/>
        </w:rPr>
        <w:t>Discussion</w:t>
      </w:r>
    </w:p>
    <w:p w14:paraId="4CCBE717" w14:textId="6AFC1C4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FC4D9D">
        <w:rPr>
          <w:rFonts w:ascii="Arial" w:hAnsi="Arial" w:cs="Arial"/>
          <w:b/>
        </w:rPr>
        <w:t>23</w:t>
      </w:r>
    </w:p>
    <w:p w14:paraId="456D2A75" w14:textId="1F8F9DB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A70B59">
        <w:rPr>
          <w:rFonts w:ascii="Arial" w:hAnsi="Arial" w:cs="Arial"/>
          <w:b/>
        </w:rPr>
        <w:t>FS_</w:t>
      </w:r>
      <w:r w:rsidR="00DD2D8C">
        <w:rPr>
          <w:rFonts w:ascii="Arial" w:hAnsi="Arial" w:cs="Arial"/>
          <w:b/>
        </w:rPr>
        <w:t>eNA</w:t>
      </w:r>
      <w:proofErr w:type="spellEnd"/>
      <w:r w:rsidR="00DD2D8C">
        <w:rPr>
          <w:rFonts w:ascii="Arial" w:hAnsi="Arial" w:cs="Arial"/>
          <w:b/>
        </w:rPr>
        <w:t xml:space="preserve"> Ph3</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1B52E023" w14:textId="1E2E4176" w:rsidR="002A67A5" w:rsidRDefault="001212D5" w:rsidP="002A67A5">
      <w:pPr>
        <w:pStyle w:val="1"/>
      </w:pPr>
      <w:bookmarkStart w:id="0" w:name="_Toc462478989"/>
      <w:r>
        <w:t>1</w:t>
      </w:r>
      <w:r>
        <w:tab/>
      </w:r>
      <w:r w:rsidR="00184764">
        <w:t>Background</w:t>
      </w:r>
    </w:p>
    <w:p w14:paraId="6C28F969" w14:textId="463539ED" w:rsidR="00E63E0E" w:rsidRDefault="00E63E0E" w:rsidP="00E63E0E">
      <w:pPr>
        <w:rPr>
          <w:lang w:eastAsia="ko-KR"/>
        </w:rPr>
      </w:pPr>
      <w:r>
        <w:rPr>
          <w:lang w:eastAsia="ko-KR"/>
        </w:rPr>
        <w:t>For the conclusion of Key Issue #9: Enhancement of NWDAF with finer granularity of location information that</w:t>
      </w:r>
      <w:r>
        <w:rPr>
          <w:rFonts w:ascii="游明朝" w:eastAsia="游明朝" w:hAnsi="游明朝" w:hint="eastAsia"/>
        </w:rPr>
        <w:t xml:space="preserve"> </w:t>
      </w:r>
      <w:r>
        <w:rPr>
          <w:lang w:eastAsia="ko-KR"/>
        </w:rPr>
        <w:t>the following use cases w</w:t>
      </w:r>
      <w:r w:rsidR="00E355DB">
        <w:rPr>
          <w:lang w:eastAsia="ko-KR"/>
        </w:rPr>
        <w:t>as</w:t>
      </w:r>
      <w:r>
        <w:rPr>
          <w:lang w:eastAsia="ko-KR"/>
        </w:rPr>
        <w:t xml:space="preserve"> addressed in normative work:</w:t>
      </w:r>
    </w:p>
    <w:p w14:paraId="145F6F25" w14:textId="77777777" w:rsidR="00E63E0E" w:rsidRPr="00E63E0E" w:rsidRDefault="00E63E0E" w:rsidP="00E63E0E">
      <w:pPr>
        <w:rPr>
          <w:lang w:val="en-US" w:eastAsia="ko-KR"/>
        </w:rPr>
      </w:pPr>
      <w:r w:rsidRPr="00E63E0E">
        <w:rPr>
          <w:i/>
          <w:iCs/>
          <w:lang w:eastAsia="ko-KR"/>
        </w:rPr>
        <w:t>The following use cases will be addressed in normative work:</w:t>
      </w:r>
    </w:p>
    <w:p w14:paraId="2C379B36" w14:textId="77777777" w:rsidR="00E63E0E" w:rsidRPr="00E355DB" w:rsidRDefault="00E63E0E" w:rsidP="00E63E0E">
      <w:pPr>
        <w:rPr>
          <w:i/>
          <w:iCs/>
          <w:color w:val="auto"/>
          <w:lang w:val="en-US" w:eastAsia="ko-KR"/>
        </w:rPr>
      </w:pPr>
      <w:r w:rsidRPr="00E355DB">
        <w:rPr>
          <w:i/>
          <w:iCs/>
          <w:color w:val="auto"/>
          <w:lang w:val="en-US" w:eastAsia="ko-KR"/>
        </w:rPr>
        <w:t>-</w:t>
      </w:r>
      <w:r w:rsidRPr="00E355DB">
        <w:rPr>
          <w:i/>
          <w:iCs/>
          <w:color w:val="auto"/>
          <w:lang w:val="en-US" w:eastAsia="ko-KR"/>
        </w:rPr>
        <w:tab/>
        <w:t>Existing analytics IDs that request UE location (</w:t>
      </w:r>
      <w:proofErr w:type="gramStart"/>
      <w:r w:rsidRPr="00E355DB">
        <w:rPr>
          <w:i/>
          <w:iCs/>
          <w:color w:val="auto"/>
          <w:lang w:val="en-US" w:eastAsia="ko-KR"/>
        </w:rPr>
        <w:t>i.e.</w:t>
      </w:r>
      <w:proofErr w:type="gramEnd"/>
      <w:r w:rsidRPr="00E355DB">
        <w:rPr>
          <w:i/>
          <w:iCs/>
          <w:color w:val="auto"/>
          <w:lang w:val="en-US" w:eastAsia="ko-KR"/>
        </w:rPr>
        <w:t xml:space="preserve"> Observed Service Experience, UE mobility, and Dispersion Analytics) are enhanced:</w:t>
      </w:r>
    </w:p>
    <w:p w14:paraId="6C4A2601" w14:textId="1762A5CB" w:rsidR="00E63E0E" w:rsidRPr="00E355DB" w:rsidRDefault="00E63E0E" w:rsidP="00E63E0E">
      <w:pPr>
        <w:rPr>
          <w:i/>
          <w:iCs/>
          <w:color w:val="auto"/>
          <w:lang w:val="en-US" w:eastAsia="ko-KR"/>
        </w:rPr>
      </w:pPr>
      <w:r w:rsidRPr="00E355DB">
        <w:rPr>
          <w:i/>
          <w:iCs/>
          <w:color w:val="auto"/>
          <w:lang w:eastAsia="ko-KR"/>
        </w:rPr>
        <w:t>-</w:t>
      </w:r>
      <w:r w:rsidRPr="00E355DB">
        <w:rPr>
          <w:i/>
          <w:iCs/>
          <w:color w:val="auto"/>
          <w:lang w:eastAsia="ko-KR"/>
        </w:rPr>
        <w:tab/>
        <w:t xml:space="preserve">to </w:t>
      </w:r>
      <w:r w:rsidRPr="00E355DB">
        <w:rPr>
          <w:i/>
          <w:iCs/>
          <w:color w:val="auto"/>
          <w:lang w:val="en-US" w:eastAsia="ko-KR"/>
        </w:rPr>
        <w:t>support the PSAP resolution use case</w:t>
      </w:r>
    </w:p>
    <w:p w14:paraId="1AC2EF85" w14:textId="6FCC7575" w:rsidR="00184764" w:rsidRDefault="00184764" w:rsidP="00184764">
      <w:pPr>
        <w:pStyle w:val="1"/>
      </w:pPr>
      <w:r>
        <w:t>2</w:t>
      </w:r>
      <w:r>
        <w:tab/>
        <w:t>Discussion</w:t>
      </w:r>
    </w:p>
    <w:p w14:paraId="6A5D10BC" w14:textId="6EEF606B" w:rsidR="00E63E0E" w:rsidRPr="00566262" w:rsidRDefault="00566262" w:rsidP="00566262">
      <w:pPr>
        <w:jc w:val="center"/>
        <w:rPr>
          <w:lang w:eastAsia="ko-KR"/>
        </w:rPr>
      </w:pPr>
      <w:r w:rsidRPr="00566262">
        <w:rPr>
          <w:noProof/>
          <w:lang w:eastAsia="ko-KR"/>
        </w:rPr>
        <w:drawing>
          <wp:inline distT="0" distB="0" distL="0" distR="0" wp14:anchorId="7052D849" wp14:editId="39824066">
            <wp:extent cx="3564990" cy="1265809"/>
            <wp:effectExtent l="0" t="0" r="0" b="0"/>
            <wp:docPr id="4" name="コンテンツ プレースホルダー 3" descr="ダイアグラム&#10;&#10;自動的に生成された説明">
              <a:extLst xmlns:a="http://schemas.openxmlformats.org/drawingml/2006/main">
                <a:ext uri="{FF2B5EF4-FFF2-40B4-BE49-F238E27FC236}">
                  <a16:creationId xmlns:a16="http://schemas.microsoft.com/office/drawing/2014/main" id="{4B2D7E71-2899-79B2-9D1D-2BA1B8E412F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コンテンツ プレースホルダー 3" descr="ダイアグラム&#10;&#10;自動的に生成された説明">
                      <a:extLst>
                        <a:ext uri="{FF2B5EF4-FFF2-40B4-BE49-F238E27FC236}">
                          <a16:creationId xmlns:a16="http://schemas.microsoft.com/office/drawing/2014/main" id="{4B2D7E71-2899-79B2-9D1D-2BA1B8E412F0}"/>
                        </a:ext>
                      </a:extLst>
                    </pic:cNvPr>
                    <pic:cNvPicPr>
                      <a:picLocks noGrp="1" noChangeAspect="1"/>
                    </pic:cNvPicPr>
                  </pic:nvPicPr>
                  <pic:blipFill>
                    <a:blip r:embed="rId11"/>
                    <a:stretch>
                      <a:fillRect/>
                    </a:stretch>
                  </pic:blipFill>
                  <pic:spPr>
                    <a:xfrm>
                      <a:off x="0" y="0"/>
                      <a:ext cx="3593111" cy="1275794"/>
                    </a:xfrm>
                    <a:prstGeom prst="rect">
                      <a:avLst/>
                    </a:prstGeom>
                  </pic:spPr>
                </pic:pic>
              </a:graphicData>
            </a:graphic>
          </wp:inline>
        </w:drawing>
      </w:r>
    </w:p>
    <w:p w14:paraId="15EAB98B" w14:textId="0D39B385" w:rsidR="00566262" w:rsidRPr="00566262" w:rsidRDefault="00566262" w:rsidP="00566262">
      <w:pPr>
        <w:jc w:val="center"/>
        <w:rPr>
          <w:rFonts w:eastAsia="游明朝"/>
        </w:rPr>
      </w:pPr>
      <w:r>
        <w:rPr>
          <w:rFonts w:eastAsia="游明朝" w:hint="eastAsia"/>
        </w:rPr>
        <w:t>F</w:t>
      </w:r>
      <w:r>
        <w:rPr>
          <w:rFonts w:eastAsia="游明朝"/>
        </w:rPr>
        <w:t>igure</w:t>
      </w:r>
      <w:r w:rsidR="00E355DB">
        <w:rPr>
          <w:rFonts w:eastAsia="游明朝"/>
        </w:rPr>
        <w:t xml:space="preserve"> 2-1 </w:t>
      </w:r>
    </w:p>
    <w:p w14:paraId="2275905F" w14:textId="2D337671" w:rsidR="00E355DB" w:rsidRPr="00131D27" w:rsidRDefault="00E63E0E" w:rsidP="00131D27">
      <w:pPr>
        <w:ind w:firstLineChars="50" w:firstLine="100"/>
        <w:rPr>
          <w:lang w:eastAsia="ko-KR"/>
        </w:rPr>
      </w:pPr>
      <w:r w:rsidRPr="00E63E0E">
        <w:rPr>
          <w:lang w:eastAsia="ko-KR"/>
        </w:rPr>
        <w:t xml:space="preserve">The above </w:t>
      </w:r>
      <w:r w:rsidR="00566262">
        <w:rPr>
          <w:lang w:eastAsia="ko-KR"/>
        </w:rPr>
        <w:t xml:space="preserve">figure </w:t>
      </w:r>
      <w:r w:rsidRPr="00E63E0E">
        <w:rPr>
          <w:lang w:eastAsia="ko-KR"/>
        </w:rPr>
        <w:t xml:space="preserve">shows </w:t>
      </w:r>
      <w:r w:rsidR="00E355DB">
        <w:rPr>
          <w:lang w:eastAsia="ko-KR"/>
        </w:rPr>
        <w:t>the</w:t>
      </w:r>
      <w:r w:rsidRPr="00E63E0E">
        <w:rPr>
          <w:lang w:eastAsia="ko-KR"/>
        </w:rPr>
        <w:t xml:space="preserve"> case </w:t>
      </w:r>
      <w:r w:rsidR="00E355DB">
        <w:rPr>
          <w:lang w:eastAsia="ko-KR"/>
        </w:rPr>
        <w:t>of</w:t>
      </w:r>
      <w:r w:rsidR="00566262">
        <w:rPr>
          <w:lang w:eastAsia="ko-KR"/>
        </w:rPr>
        <w:t xml:space="preserve"> PSAP resolution</w:t>
      </w:r>
      <w:r w:rsidR="00E355DB">
        <w:rPr>
          <w:lang w:eastAsia="ko-KR"/>
        </w:rPr>
        <w:t xml:space="preserve"> where</w:t>
      </w:r>
      <w:r w:rsidR="00566262">
        <w:rPr>
          <w:lang w:eastAsia="ko-KR"/>
        </w:rPr>
        <w:t xml:space="preserve"> </w:t>
      </w:r>
      <w:r w:rsidRPr="00E63E0E">
        <w:rPr>
          <w:lang w:eastAsia="ko-KR"/>
        </w:rPr>
        <w:t>a UE move</w:t>
      </w:r>
      <w:r w:rsidR="00D637CA">
        <w:rPr>
          <w:lang w:eastAsia="ko-KR"/>
        </w:rPr>
        <w:t>d</w:t>
      </w:r>
      <w:r w:rsidRPr="00E63E0E">
        <w:rPr>
          <w:lang w:eastAsia="ko-KR"/>
        </w:rPr>
        <w:t xml:space="preserve"> from a </w:t>
      </w:r>
      <w:r w:rsidR="00D637CA">
        <w:rPr>
          <w:lang w:eastAsia="ko-KR"/>
        </w:rPr>
        <w:t>n</w:t>
      </w:r>
      <w:r w:rsidRPr="00E63E0E">
        <w:rPr>
          <w:lang w:eastAsia="ko-KR"/>
        </w:rPr>
        <w:t>ormal cell</w:t>
      </w:r>
      <w:r w:rsidR="00AE13C2">
        <w:rPr>
          <w:lang w:eastAsia="ko-KR"/>
        </w:rPr>
        <w:t>#1 which</w:t>
      </w:r>
      <w:r w:rsidRPr="00E63E0E">
        <w:rPr>
          <w:lang w:eastAsia="ko-KR"/>
        </w:rPr>
        <w:t xml:space="preserve"> belonging to PSAP Area#1 to the </w:t>
      </w:r>
      <w:r w:rsidR="00AE13C2">
        <w:rPr>
          <w:lang w:eastAsia="ko-KR"/>
        </w:rPr>
        <w:t>l</w:t>
      </w:r>
      <w:r w:rsidRPr="00E63E0E">
        <w:rPr>
          <w:lang w:eastAsia="ko-KR"/>
        </w:rPr>
        <w:t xml:space="preserve">arge </w:t>
      </w:r>
      <w:r w:rsidR="00AE13C2">
        <w:rPr>
          <w:lang w:eastAsia="ko-KR"/>
        </w:rPr>
        <w:t>c</w:t>
      </w:r>
      <w:r w:rsidRPr="00E63E0E">
        <w:rPr>
          <w:lang w:eastAsia="ko-KR"/>
        </w:rPr>
        <w:t>ell</w:t>
      </w:r>
      <w:r w:rsidR="00AE13C2">
        <w:rPr>
          <w:lang w:eastAsia="ko-KR"/>
        </w:rPr>
        <w:t>#0</w:t>
      </w:r>
      <w:r w:rsidR="00D637CA">
        <w:rPr>
          <w:lang w:eastAsia="ko-KR"/>
        </w:rPr>
        <w:t xml:space="preserve"> which </w:t>
      </w:r>
      <w:r w:rsidR="00AE13C2">
        <w:rPr>
          <w:lang w:eastAsia="ko-KR"/>
        </w:rPr>
        <w:t xml:space="preserve">spreads across </w:t>
      </w:r>
      <w:r w:rsidR="00D637CA">
        <w:rPr>
          <w:lang w:eastAsia="ko-KR"/>
        </w:rPr>
        <w:t xml:space="preserve">the multiple PSAP </w:t>
      </w:r>
      <w:proofErr w:type="gramStart"/>
      <w:r w:rsidR="00D637CA">
        <w:rPr>
          <w:lang w:eastAsia="ko-KR"/>
        </w:rPr>
        <w:t>areas</w:t>
      </w:r>
      <w:r w:rsidR="00AE13C2">
        <w:rPr>
          <w:lang w:eastAsia="ko-KR"/>
        </w:rPr>
        <w:t>(</w:t>
      </w:r>
      <w:proofErr w:type="gramEnd"/>
      <w:r w:rsidR="00AE13C2">
        <w:rPr>
          <w:lang w:eastAsia="ko-KR"/>
        </w:rPr>
        <w:t>#1-3).</w:t>
      </w:r>
      <w:r w:rsidR="00AE13C2">
        <w:rPr>
          <w:rFonts w:eastAsia="游明朝" w:hint="eastAsia"/>
        </w:rPr>
        <w:t xml:space="preserve"> </w:t>
      </w:r>
      <w:r w:rsidR="00AE13C2">
        <w:rPr>
          <w:rFonts w:eastAsia="游明朝"/>
        </w:rPr>
        <w:t xml:space="preserve">Depending on the UE mobility </w:t>
      </w:r>
      <w:r w:rsidR="00ED7A52">
        <w:rPr>
          <w:rFonts w:eastAsia="游明朝"/>
        </w:rPr>
        <w:t xml:space="preserve">within </w:t>
      </w:r>
      <w:r w:rsidR="00E355DB">
        <w:rPr>
          <w:rFonts w:eastAsia="游明朝"/>
        </w:rPr>
        <w:t xml:space="preserve">and/or around </w:t>
      </w:r>
      <w:r w:rsidR="00ED7A52">
        <w:rPr>
          <w:rFonts w:eastAsia="游明朝"/>
        </w:rPr>
        <w:t>the large cell#0, estimated PSAP area can be changed.</w:t>
      </w:r>
      <w:r w:rsidR="00E355DB">
        <w:rPr>
          <w:rFonts w:eastAsia="游明朝" w:hint="eastAsia"/>
        </w:rPr>
        <w:t xml:space="preserve"> </w:t>
      </w:r>
      <w:r w:rsidR="00E355DB">
        <w:rPr>
          <w:lang w:eastAsia="ko-KR"/>
        </w:rPr>
        <w:t>When</w:t>
      </w:r>
      <w:r w:rsidR="00ED7A52">
        <w:rPr>
          <w:lang w:eastAsia="ko-KR"/>
        </w:rPr>
        <w:t xml:space="preserve"> the UE </w:t>
      </w:r>
      <w:r w:rsidR="00E355DB">
        <w:rPr>
          <w:lang w:eastAsia="ko-KR"/>
        </w:rPr>
        <w:t>originates</w:t>
      </w:r>
      <w:r w:rsidR="00ED7A52">
        <w:rPr>
          <w:lang w:eastAsia="ko-KR"/>
        </w:rPr>
        <w:t xml:space="preserve"> the emergency call from the large cell#0</w:t>
      </w:r>
      <w:r w:rsidR="00A61D28">
        <w:rPr>
          <w:lang w:eastAsia="ko-KR"/>
        </w:rPr>
        <w:t xml:space="preserve"> and the </w:t>
      </w:r>
      <w:r w:rsidR="00184764">
        <w:rPr>
          <w:lang w:eastAsia="ko-KR"/>
        </w:rPr>
        <w:t xml:space="preserve">NW </w:t>
      </w:r>
      <w:r w:rsidR="00A61D28">
        <w:rPr>
          <w:lang w:eastAsia="ko-KR"/>
        </w:rPr>
        <w:t xml:space="preserve">cannot specify which PSAP </w:t>
      </w:r>
      <w:proofErr w:type="gramStart"/>
      <w:r w:rsidR="00A61D28">
        <w:rPr>
          <w:lang w:eastAsia="ko-KR"/>
        </w:rPr>
        <w:t>areas(</w:t>
      </w:r>
      <w:proofErr w:type="gramEnd"/>
      <w:r w:rsidR="00A61D28">
        <w:rPr>
          <w:lang w:eastAsia="ko-KR"/>
        </w:rPr>
        <w:t>#1-3) the UE be</w:t>
      </w:r>
      <w:r w:rsidR="00E355DB">
        <w:rPr>
          <w:lang w:eastAsia="ko-KR"/>
        </w:rPr>
        <w:t>longs to</w:t>
      </w:r>
      <w:r w:rsidR="00A61D28">
        <w:rPr>
          <w:lang w:eastAsia="ko-KR"/>
        </w:rPr>
        <w:t>,</w:t>
      </w:r>
      <w:r w:rsidR="00E355DB">
        <w:rPr>
          <w:lang w:eastAsia="ko-KR"/>
        </w:rPr>
        <w:t xml:space="preserve"> then</w:t>
      </w:r>
      <w:r w:rsidR="00A61D28">
        <w:rPr>
          <w:lang w:eastAsia="ko-KR"/>
        </w:rPr>
        <w:t xml:space="preserve"> NW</w:t>
      </w:r>
      <w:r w:rsidR="00E355DB">
        <w:rPr>
          <w:lang w:eastAsia="ko-KR"/>
        </w:rPr>
        <w:t xml:space="preserve"> </w:t>
      </w:r>
      <w:r w:rsidR="00184764">
        <w:rPr>
          <w:lang w:eastAsia="ko-KR"/>
        </w:rPr>
        <w:t>ask the NWDAF</w:t>
      </w:r>
      <w:r w:rsidR="00E355DB">
        <w:rPr>
          <w:lang w:eastAsia="ko-KR"/>
        </w:rPr>
        <w:t>.</w:t>
      </w:r>
      <w:r w:rsidR="00AE3665">
        <w:rPr>
          <w:rFonts w:eastAsia="游明朝" w:hint="eastAsia"/>
        </w:rPr>
        <w:t xml:space="preserve"> </w:t>
      </w:r>
    </w:p>
    <w:p w14:paraId="31BA0D0A" w14:textId="5FC051B5" w:rsidR="003B2121" w:rsidRPr="003B2121" w:rsidRDefault="003B2121" w:rsidP="00E63E0E">
      <w:pPr>
        <w:rPr>
          <w:rFonts w:eastAsia="游明朝"/>
        </w:rPr>
      </w:pPr>
      <w:r>
        <w:rPr>
          <w:rFonts w:eastAsia="游明朝" w:hint="eastAsia"/>
        </w:rPr>
        <w:t>-</w:t>
      </w:r>
      <w:r>
        <w:rPr>
          <w:rFonts w:eastAsia="游明朝"/>
        </w:rPr>
        <w:t>--------------------</w:t>
      </w:r>
    </w:p>
    <w:p w14:paraId="45585F9A" w14:textId="77777777" w:rsidR="001E71F2" w:rsidRPr="005D2CF1" w:rsidRDefault="001E71F2" w:rsidP="001E71F2">
      <w:r w:rsidRPr="005D2CF1">
        <w:t>The consumer of these analytics may indicate in the request:</w:t>
      </w:r>
    </w:p>
    <w:p w14:paraId="6A586BD6" w14:textId="77777777" w:rsidR="001E71F2" w:rsidRDefault="001E71F2" w:rsidP="001E71F2">
      <w:pPr>
        <w:pStyle w:val="B1"/>
      </w:pPr>
      <w:r>
        <w:t>-</w:t>
      </w:r>
      <w:r>
        <w:tab/>
        <w:t>Analytics ID = "UE Mobility".</w:t>
      </w:r>
    </w:p>
    <w:p w14:paraId="5D2DE93A" w14:textId="77777777" w:rsidR="001E71F2" w:rsidRPr="00E355DB" w:rsidRDefault="001E71F2" w:rsidP="001E71F2">
      <w:pPr>
        <w:pStyle w:val="B1"/>
        <w:rPr>
          <w:color w:val="auto"/>
        </w:rPr>
      </w:pPr>
      <w:r w:rsidRPr="00E355DB">
        <w:rPr>
          <w:color w:val="auto"/>
        </w:rPr>
        <w:t>-</w:t>
      </w:r>
      <w:r w:rsidRPr="00E355DB">
        <w:rPr>
          <w:color w:val="auto"/>
        </w:rPr>
        <w:tab/>
        <w:t>Target of Analytics Reporting: a single UE (SUPI) or a group of UEs (an Internal Group ID</w:t>
      </w:r>
      <w:proofErr w:type="gramStart"/>
      <w:r w:rsidRPr="00E355DB">
        <w:rPr>
          <w:color w:val="auto"/>
        </w:rPr>
        <w:t>);</w:t>
      </w:r>
      <w:proofErr w:type="gramEnd"/>
    </w:p>
    <w:p w14:paraId="455932E8" w14:textId="77777777" w:rsidR="001E71F2" w:rsidRPr="00E355DB" w:rsidRDefault="001E71F2" w:rsidP="001E71F2">
      <w:pPr>
        <w:pStyle w:val="B1"/>
        <w:rPr>
          <w:color w:val="auto"/>
        </w:rPr>
      </w:pPr>
      <w:r w:rsidRPr="00E355DB">
        <w:rPr>
          <w:color w:val="auto"/>
        </w:rPr>
        <w:t>-</w:t>
      </w:r>
      <w:r w:rsidRPr="00E355DB">
        <w:rPr>
          <w:color w:val="auto"/>
        </w:rPr>
        <w:tab/>
        <w:t>Analytics Filter Information optionally containing:</w:t>
      </w:r>
    </w:p>
    <w:p w14:paraId="0A02CA26" w14:textId="77777777" w:rsidR="001E71F2" w:rsidRPr="00E355DB" w:rsidRDefault="001E71F2" w:rsidP="001E71F2">
      <w:pPr>
        <w:pStyle w:val="B2"/>
        <w:rPr>
          <w:color w:val="auto"/>
        </w:rPr>
      </w:pPr>
      <w:r w:rsidRPr="00E355DB">
        <w:rPr>
          <w:color w:val="auto"/>
        </w:rPr>
        <w:t>-</w:t>
      </w:r>
      <w:r w:rsidRPr="00E355DB">
        <w:rPr>
          <w:color w:val="auto"/>
        </w:rPr>
        <w:tab/>
      </w:r>
      <w:r w:rsidRPr="00131D27">
        <w:rPr>
          <w:color w:val="auto"/>
          <w:highlight w:val="yellow"/>
        </w:rPr>
        <w:t>Area of Interest (AOI):</w:t>
      </w:r>
      <w:r w:rsidRPr="00E355DB">
        <w:rPr>
          <w:color w:val="auto"/>
        </w:rPr>
        <w:t xml:space="preserve"> restricts the scope of the UE mobility analytics to the provided </w:t>
      </w:r>
      <w:proofErr w:type="gramStart"/>
      <w:r w:rsidRPr="00E355DB">
        <w:rPr>
          <w:color w:val="auto"/>
        </w:rPr>
        <w:t>area;</w:t>
      </w:r>
      <w:proofErr w:type="gramEnd"/>
    </w:p>
    <w:p w14:paraId="2811BB72" w14:textId="77777777" w:rsidR="001E71F2" w:rsidRPr="00E355DB" w:rsidRDefault="001E71F2" w:rsidP="001E71F2">
      <w:pPr>
        <w:pStyle w:val="B2"/>
        <w:rPr>
          <w:color w:val="auto"/>
        </w:rPr>
      </w:pPr>
      <w:r w:rsidRPr="00E355DB">
        <w:rPr>
          <w:color w:val="auto"/>
        </w:rPr>
        <w:t>-</w:t>
      </w:r>
      <w:r w:rsidRPr="00E355DB">
        <w:rPr>
          <w:color w:val="auto"/>
        </w:rPr>
        <w:tab/>
      </w:r>
      <w:r w:rsidRPr="00131D27">
        <w:rPr>
          <w:color w:val="auto"/>
          <w:highlight w:val="yellow"/>
        </w:rPr>
        <w:t>Visited Area(s) of Interest (visited AOI(s))</w:t>
      </w:r>
      <w:r w:rsidRPr="00E355DB">
        <w:rPr>
          <w:color w:val="auto"/>
        </w:rPr>
        <w:t>: additional filter to only consider UEs that are currently (</w:t>
      </w:r>
      <w:proofErr w:type="gramStart"/>
      <w:r w:rsidRPr="00E355DB">
        <w:rPr>
          <w:color w:val="auto"/>
        </w:rPr>
        <w:t>i.e.</w:t>
      </w:r>
      <w:proofErr w:type="gramEnd"/>
      <w:r w:rsidRPr="00E355DB">
        <w:rPr>
          <w:color w:val="auto"/>
        </w:rPr>
        <w:t xml:space="preserve"> now) in the "AOI" and had previously (i.e. in the "Analytics target period") been in at least one of the Visited AOI(s). If this parameter is provided, the Analytics target period shall be in the past (</w:t>
      </w:r>
      <w:proofErr w:type="gramStart"/>
      <w:r w:rsidRPr="00E355DB">
        <w:rPr>
          <w:color w:val="auto"/>
        </w:rPr>
        <w:t>i.e.</w:t>
      </w:r>
      <w:proofErr w:type="gramEnd"/>
      <w:r w:rsidRPr="00E355DB">
        <w:rPr>
          <w:color w:val="auto"/>
        </w:rPr>
        <w:t xml:space="preserve"> supported for statistics only);</w:t>
      </w:r>
    </w:p>
    <w:p w14:paraId="4B50BB43" w14:textId="77777777" w:rsidR="001E71F2" w:rsidRPr="00E355DB" w:rsidRDefault="001E71F2" w:rsidP="001E71F2">
      <w:pPr>
        <w:pStyle w:val="NO"/>
        <w:rPr>
          <w:color w:val="auto"/>
        </w:rPr>
      </w:pPr>
      <w:r w:rsidRPr="00E355DB">
        <w:rPr>
          <w:color w:val="auto"/>
        </w:rPr>
        <w:lastRenderedPageBreak/>
        <w:t>NOTE 1:</w:t>
      </w:r>
      <w:r w:rsidRPr="00E355DB">
        <w:rPr>
          <w:color w:val="auto"/>
        </w:rPr>
        <w:tab/>
        <w:t>For LADN service, the consumer (</w:t>
      </w:r>
      <w:proofErr w:type="gramStart"/>
      <w:r w:rsidRPr="00E355DB">
        <w:rPr>
          <w:color w:val="auto"/>
        </w:rPr>
        <w:t>e.g.</w:t>
      </w:r>
      <w:proofErr w:type="gramEnd"/>
      <w:r w:rsidRPr="00E355DB">
        <w:rPr>
          <w:color w:val="auto"/>
        </w:rPr>
        <w:t xml:space="preserve"> SMF) provides the LADN DNN to refer the LADN service area as the AOI.</w:t>
      </w:r>
    </w:p>
    <w:p w14:paraId="732CD1AD" w14:textId="77777777" w:rsidR="001E71F2" w:rsidRPr="00E355DB" w:rsidRDefault="001E71F2" w:rsidP="001E71F2">
      <w:pPr>
        <w:pStyle w:val="B1"/>
        <w:rPr>
          <w:color w:val="auto"/>
        </w:rPr>
      </w:pPr>
      <w:r w:rsidRPr="00E355DB">
        <w:rPr>
          <w:color w:val="auto"/>
        </w:rPr>
        <w:t>-</w:t>
      </w:r>
      <w:r w:rsidRPr="00E355DB">
        <w:rPr>
          <w:color w:val="auto"/>
        </w:rPr>
        <w:tab/>
      </w:r>
      <w:r w:rsidRPr="00131D27">
        <w:rPr>
          <w:color w:val="auto"/>
          <w:highlight w:val="yellow"/>
        </w:rPr>
        <w:t>An Analytics target period</w:t>
      </w:r>
      <w:r w:rsidRPr="00E355DB">
        <w:rPr>
          <w:color w:val="auto"/>
        </w:rPr>
        <w:t xml:space="preserve"> indicates the time period over which the statistics or predictions are </w:t>
      </w:r>
      <w:proofErr w:type="gramStart"/>
      <w:r w:rsidRPr="00E355DB">
        <w:rPr>
          <w:color w:val="auto"/>
        </w:rPr>
        <w:t>requested;</w:t>
      </w:r>
      <w:proofErr w:type="gramEnd"/>
    </w:p>
    <w:p w14:paraId="1974DFF9" w14:textId="77777777" w:rsidR="001E71F2" w:rsidRPr="00E355DB" w:rsidRDefault="001E71F2" w:rsidP="001E71F2">
      <w:pPr>
        <w:pStyle w:val="NO"/>
        <w:rPr>
          <w:color w:val="auto"/>
        </w:rPr>
      </w:pPr>
      <w:r w:rsidRPr="00E355DB">
        <w:rPr>
          <w:color w:val="auto"/>
        </w:rPr>
        <w:t>NOTE 2:</w:t>
      </w:r>
      <w:r w:rsidRPr="00E355DB">
        <w:rPr>
          <w:color w:val="auto"/>
        </w:rP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1BBBA4E" w14:textId="548FAF2B" w:rsidR="00CB200C" w:rsidRDefault="00CB200C" w:rsidP="00E63E0E">
      <w:pPr>
        <w:rPr>
          <w:rFonts w:eastAsia="游明朝"/>
          <w:lang w:val="en-US"/>
        </w:rPr>
      </w:pPr>
      <w:r>
        <w:rPr>
          <w:rFonts w:eastAsia="游明朝" w:hint="eastAsia"/>
          <w:lang w:val="en-US"/>
        </w:rPr>
        <w:t>-</w:t>
      </w:r>
      <w:r>
        <w:rPr>
          <w:rFonts w:eastAsia="游明朝"/>
          <w:lang w:val="en-US"/>
        </w:rPr>
        <w:t>------------</w:t>
      </w:r>
    </w:p>
    <w:p w14:paraId="010EC6BF" w14:textId="236026C1" w:rsidR="00F72ECB" w:rsidRPr="00131D27" w:rsidRDefault="00131D27" w:rsidP="00CB200C">
      <w:pPr>
        <w:rPr>
          <w:rFonts w:eastAsia="游明朝"/>
          <w:lang w:val="en-US"/>
        </w:rPr>
      </w:pPr>
      <w:r>
        <w:rPr>
          <w:rFonts w:eastAsia="游明朝" w:hint="eastAsia"/>
          <w:lang w:val="en-US"/>
        </w:rPr>
        <w:t>I</w:t>
      </w:r>
      <w:r>
        <w:rPr>
          <w:rFonts w:eastAsia="游明朝"/>
          <w:lang w:val="en-US"/>
        </w:rPr>
        <w:t xml:space="preserve">n case of </w:t>
      </w:r>
      <w:r>
        <w:rPr>
          <w:lang w:eastAsia="ko-KR"/>
        </w:rPr>
        <w:t>PSAP resolution use case the AOI and the Analytic target period can be determined by the l</w:t>
      </w:r>
      <w:r w:rsidRPr="00E63E0E">
        <w:rPr>
          <w:lang w:eastAsia="ko-KR"/>
        </w:rPr>
        <w:t xml:space="preserve">arge </w:t>
      </w:r>
      <w:r>
        <w:rPr>
          <w:lang w:eastAsia="ko-KR"/>
        </w:rPr>
        <w:t>c</w:t>
      </w:r>
      <w:r w:rsidRPr="00E63E0E">
        <w:rPr>
          <w:lang w:eastAsia="ko-KR"/>
        </w:rPr>
        <w:t>ell</w:t>
      </w:r>
      <w:r>
        <w:rPr>
          <w:lang w:eastAsia="ko-KR"/>
        </w:rPr>
        <w:t xml:space="preserve">#0 and the </w:t>
      </w:r>
      <w:proofErr w:type="spellStart"/>
      <w:r>
        <w:rPr>
          <w:lang w:eastAsia="ko-KR"/>
        </w:rPr>
        <w:t>nomal</w:t>
      </w:r>
      <w:proofErr w:type="spellEnd"/>
      <w:r>
        <w:rPr>
          <w:lang w:eastAsia="ko-KR"/>
        </w:rPr>
        <w:t xml:space="preserve"> cells belonging to the multiple PSAP </w:t>
      </w:r>
      <w:proofErr w:type="gramStart"/>
      <w:r>
        <w:rPr>
          <w:lang w:eastAsia="ko-KR"/>
        </w:rPr>
        <w:t>area(</w:t>
      </w:r>
      <w:proofErr w:type="gramEnd"/>
      <w:r>
        <w:rPr>
          <w:lang w:eastAsia="ko-KR"/>
        </w:rPr>
        <w:t>#1-3).</w:t>
      </w:r>
      <w:r>
        <w:rPr>
          <w:rFonts w:eastAsia="游明朝" w:hint="eastAsia"/>
          <w:lang w:val="en-US"/>
        </w:rPr>
        <w:t xml:space="preserve"> </w:t>
      </w:r>
      <w:r w:rsidR="00CB200C" w:rsidRPr="00E63E0E">
        <w:rPr>
          <w:lang w:val="en-US" w:eastAsia="ko-KR"/>
        </w:rPr>
        <w:t xml:space="preserve">Current UE mobility analytics specified in 6.7.2 says that </w:t>
      </w:r>
      <w:r w:rsidR="00C536B0">
        <w:rPr>
          <w:lang w:val="en-US" w:eastAsia="ko-KR"/>
        </w:rPr>
        <w:t xml:space="preserve">the consumer need to indicate the appropriate </w:t>
      </w:r>
      <w:r w:rsidR="00C536B0" w:rsidRPr="00131D27">
        <w:rPr>
          <w:lang w:val="en-US" w:eastAsia="ko-KR"/>
        </w:rPr>
        <w:t>Area of Interest and the Analytics target period</w:t>
      </w:r>
      <w:r>
        <w:rPr>
          <w:lang w:val="en-US" w:eastAsia="ko-KR"/>
        </w:rPr>
        <w:t>,</w:t>
      </w:r>
      <w:r w:rsidR="00C536B0">
        <w:rPr>
          <w:lang w:val="en-US" w:eastAsia="ko-KR"/>
        </w:rPr>
        <w:t xml:space="preserve"> </w:t>
      </w:r>
      <w:r w:rsidR="001E71F2">
        <w:rPr>
          <w:lang w:val="en-US" w:eastAsia="ko-KR"/>
        </w:rPr>
        <w:t>which</w:t>
      </w:r>
      <w:r w:rsidR="00C536B0">
        <w:rPr>
          <w:lang w:val="en-US" w:eastAsia="ko-KR"/>
        </w:rPr>
        <w:t xml:space="preserve"> can be changed depending on the location and the actual deployment </w:t>
      </w:r>
      <w:r w:rsidR="00892C47">
        <w:rPr>
          <w:lang w:val="en-US" w:eastAsia="ko-KR"/>
        </w:rPr>
        <w:t xml:space="preserve">of the large cell(s) and the </w:t>
      </w:r>
      <w:r w:rsidR="00C536B0">
        <w:rPr>
          <w:lang w:val="en-US" w:eastAsia="ko-KR"/>
        </w:rPr>
        <w:t>ne</w:t>
      </w:r>
      <w:r w:rsidR="00892C47">
        <w:rPr>
          <w:lang w:val="en-US" w:eastAsia="ko-KR"/>
        </w:rPr>
        <w:t>ighbor cell(s)</w:t>
      </w:r>
      <w:r w:rsidR="001E71F2">
        <w:rPr>
          <w:lang w:val="en-US" w:eastAsia="ko-KR"/>
        </w:rPr>
        <w:t>.</w:t>
      </w:r>
      <w:r w:rsidR="00892C47">
        <w:rPr>
          <w:lang w:val="en-US" w:eastAsia="ko-KR"/>
        </w:rPr>
        <w:t xml:space="preserve"> </w:t>
      </w:r>
      <w:r>
        <w:rPr>
          <w:lang w:val="en-US" w:eastAsia="ko-KR"/>
        </w:rPr>
        <w:t>T</w:t>
      </w:r>
      <w:r w:rsidR="00892C47">
        <w:rPr>
          <w:lang w:val="en-US" w:eastAsia="ko-KR"/>
        </w:rPr>
        <w:t xml:space="preserve">he consumer </w:t>
      </w:r>
      <w:proofErr w:type="gramStart"/>
      <w:r>
        <w:rPr>
          <w:lang w:val="en-US" w:eastAsia="ko-KR"/>
        </w:rPr>
        <w:t>need</w:t>
      </w:r>
      <w:proofErr w:type="gramEnd"/>
      <w:r>
        <w:rPr>
          <w:lang w:val="en-US" w:eastAsia="ko-KR"/>
        </w:rPr>
        <w:t xml:space="preserve"> </w:t>
      </w:r>
      <w:r w:rsidR="001E71F2">
        <w:rPr>
          <w:lang w:val="en-US" w:eastAsia="ko-KR"/>
        </w:rPr>
        <w:t>to manage</w:t>
      </w:r>
      <w:r w:rsidR="00892C47">
        <w:rPr>
          <w:lang w:val="en-US" w:eastAsia="ko-KR"/>
        </w:rPr>
        <w:t xml:space="preserve"> such information.</w:t>
      </w:r>
      <w:r w:rsidR="00F72ECB">
        <w:rPr>
          <w:lang w:val="en-US" w:eastAsia="ko-KR"/>
        </w:rPr>
        <w:t xml:space="preserve"> </w:t>
      </w:r>
    </w:p>
    <w:p w14:paraId="4A99CF56" w14:textId="6EB22902" w:rsidR="00F72ECB" w:rsidRDefault="00F72ECB" w:rsidP="00CB200C">
      <w:pPr>
        <w:rPr>
          <w:lang w:val="en-US" w:eastAsia="ko-KR"/>
        </w:rPr>
      </w:pPr>
      <w:r w:rsidRPr="00F72ECB">
        <w:rPr>
          <w:rFonts w:eastAsia="游明朝" w:hint="eastAsia"/>
          <w:b/>
          <w:bCs/>
          <w:lang w:val="en-US"/>
        </w:rPr>
        <w:t>O</w:t>
      </w:r>
      <w:r w:rsidRPr="00F72ECB">
        <w:rPr>
          <w:rFonts w:eastAsia="游明朝"/>
          <w:b/>
          <w:bCs/>
          <w:lang w:val="en-US"/>
        </w:rPr>
        <w:t>bservation</w:t>
      </w:r>
      <w:r>
        <w:rPr>
          <w:rFonts w:eastAsia="游明朝"/>
          <w:b/>
          <w:bCs/>
          <w:lang w:val="en-US"/>
        </w:rPr>
        <w:t>1</w:t>
      </w:r>
      <w:r w:rsidRPr="00F72ECB">
        <w:rPr>
          <w:rFonts w:eastAsia="游明朝"/>
          <w:b/>
          <w:bCs/>
          <w:lang w:val="en-US"/>
        </w:rPr>
        <w:t>:</w:t>
      </w:r>
      <w:r>
        <w:rPr>
          <w:rFonts w:eastAsia="游明朝"/>
          <w:lang w:val="en-US"/>
        </w:rPr>
        <w:t xml:space="preserve"> For the PSAP r</w:t>
      </w:r>
      <w:r w:rsidRPr="00F72ECB">
        <w:rPr>
          <w:rFonts w:eastAsia="游明朝"/>
          <w:lang w:val="en-US"/>
        </w:rPr>
        <w:t xml:space="preserve">esolution case, </w:t>
      </w:r>
      <w:r w:rsidR="00131D27">
        <w:rPr>
          <w:rFonts w:eastAsia="游明朝"/>
          <w:lang w:val="en-US"/>
        </w:rPr>
        <w:t xml:space="preserve">it is not feasible for </w:t>
      </w:r>
      <w:r w:rsidRPr="00F72ECB">
        <w:rPr>
          <w:rFonts w:eastAsia="游明朝"/>
          <w:lang w:val="en-US"/>
        </w:rPr>
        <w:t xml:space="preserve">the consumer NF </w:t>
      </w:r>
      <w:r w:rsidR="00131D27">
        <w:rPr>
          <w:rFonts w:eastAsia="游明朝"/>
          <w:lang w:val="en-US"/>
        </w:rPr>
        <w:t>to</w:t>
      </w:r>
      <w:r w:rsidRPr="00F72ECB">
        <w:rPr>
          <w:rFonts w:eastAsia="游明朝"/>
          <w:lang w:val="en-US"/>
        </w:rPr>
        <w:t xml:space="preserve"> specify the appropriate </w:t>
      </w:r>
      <w:r w:rsidRPr="00F72ECB">
        <w:rPr>
          <w:lang w:val="en-US" w:eastAsia="ko-KR"/>
        </w:rPr>
        <w:t>Area of Interest and the Analytics target period.</w:t>
      </w:r>
    </w:p>
    <w:p w14:paraId="49B90503" w14:textId="6DAA3DF9" w:rsidR="001212D5" w:rsidRDefault="00BD0B0E" w:rsidP="001212D5">
      <w:pPr>
        <w:pStyle w:val="1"/>
      </w:pPr>
      <w:r>
        <w:t>2</w:t>
      </w:r>
      <w:r w:rsidR="001212D5">
        <w:tab/>
      </w:r>
      <w:r w:rsidR="00940588">
        <w:t>Proposal</w:t>
      </w:r>
      <w:bookmarkEnd w:id="0"/>
    </w:p>
    <w:p w14:paraId="6AB0FF3B" w14:textId="7CDEFB5C" w:rsidR="00CE1C03" w:rsidRPr="005F4302" w:rsidRDefault="00CE1C03" w:rsidP="00CE1C03">
      <w:pPr>
        <w:rPr>
          <w:lang w:eastAsia="ko-KR"/>
        </w:rPr>
      </w:pPr>
      <w:r w:rsidRPr="005F4302">
        <w:rPr>
          <w:lang w:eastAsia="ko-KR"/>
        </w:rPr>
        <w:t xml:space="preserve">As </w:t>
      </w:r>
      <w:r w:rsidR="00131D27">
        <w:rPr>
          <w:lang w:eastAsia="ko-KR"/>
        </w:rPr>
        <w:t>the observation1</w:t>
      </w:r>
      <w:r w:rsidRPr="005F4302">
        <w:rPr>
          <w:lang w:eastAsia="ko-KR"/>
        </w:rPr>
        <w:t xml:space="preserve"> in th</w:t>
      </w:r>
      <w:r w:rsidR="001E71F2">
        <w:rPr>
          <w:lang w:eastAsia="ko-KR"/>
        </w:rPr>
        <w:t>e</w:t>
      </w:r>
      <w:r w:rsidRPr="005F4302">
        <w:rPr>
          <w:lang w:eastAsia="ko-KR"/>
        </w:rPr>
        <w:t xml:space="preserve"> above, </w:t>
      </w:r>
      <w:r w:rsidR="005F4302" w:rsidRPr="005F4302">
        <w:rPr>
          <w:lang w:eastAsia="ko-KR"/>
        </w:rPr>
        <w:t xml:space="preserve">for the PSAP scenario it is not </w:t>
      </w:r>
      <w:r w:rsidR="00131D27">
        <w:rPr>
          <w:rFonts w:eastAsia="游明朝"/>
          <w:lang w:val="en-US"/>
        </w:rPr>
        <w:t xml:space="preserve">feasible for </w:t>
      </w:r>
      <w:r w:rsidRPr="005F4302">
        <w:rPr>
          <w:lang w:eastAsia="ko-KR"/>
        </w:rPr>
        <w:t xml:space="preserve">the consumer </w:t>
      </w:r>
      <w:r w:rsidR="005F4302" w:rsidRPr="005F4302">
        <w:rPr>
          <w:lang w:eastAsia="ko-KR"/>
        </w:rPr>
        <w:t xml:space="preserve">to </w:t>
      </w:r>
      <w:r w:rsidRPr="005F4302">
        <w:rPr>
          <w:lang w:eastAsia="ko-KR"/>
        </w:rPr>
        <w:t xml:space="preserve">set the appropriate Area of interest and </w:t>
      </w:r>
      <w:r w:rsidRPr="005F4302">
        <w:rPr>
          <w:rFonts w:eastAsia="游明朝" w:hint="eastAsia"/>
          <w:lang w:val="en-US"/>
        </w:rPr>
        <w:t>A</w:t>
      </w:r>
      <w:r w:rsidRPr="005F4302">
        <w:rPr>
          <w:rFonts w:eastAsia="游明朝"/>
          <w:lang w:val="en-US"/>
        </w:rPr>
        <w:t>nalytic target period</w:t>
      </w:r>
      <w:r w:rsidR="005F4302" w:rsidRPr="005F4302">
        <w:rPr>
          <w:rFonts w:eastAsia="游明朝"/>
          <w:lang w:val="en-US"/>
        </w:rPr>
        <w:t>.</w:t>
      </w:r>
      <w:r w:rsidR="001E71F2">
        <w:rPr>
          <w:rFonts w:eastAsia="游明朝"/>
          <w:lang w:val="en-US"/>
        </w:rPr>
        <w:t xml:space="preserve"> </w:t>
      </w:r>
    </w:p>
    <w:p w14:paraId="4A3F7609" w14:textId="5E3DF260" w:rsidR="00892C47" w:rsidRPr="005F4302" w:rsidRDefault="005F4302" w:rsidP="00CE1C03">
      <w:pPr>
        <w:rPr>
          <w:rFonts w:eastAsia="游明朝"/>
        </w:rPr>
      </w:pPr>
      <w:r w:rsidRPr="005F4302">
        <w:rPr>
          <w:rFonts w:eastAsia="游明朝" w:hint="eastAsia"/>
        </w:rPr>
        <w:t>I</w:t>
      </w:r>
      <w:r w:rsidRPr="005F4302">
        <w:rPr>
          <w:rFonts w:eastAsia="游明朝"/>
        </w:rPr>
        <w:t>t is proposed</w:t>
      </w:r>
      <w:r w:rsidR="001E71F2">
        <w:rPr>
          <w:rFonts w:eastAsia="游明朝"/>
        </w:rPr>
        <w:t>:</w:t>
      </w:r>
    </w:p>
    <w:p w14:paraId="0895023E" w14:textId="1E2F051E" w:rsidR="00C63A7F" w:rsidRDefault="00CE1C03" w:rsidP="00D732C5">
      <w:pPr>
        <w:rPr>
          <w:rFonts w:eastAsia="游明朝"/>
          <w:lang w:val="en-US"/>
        </w:rPr>
      </w:pPr>
      <w:r w:rsidRPr="001E71F2">
        <w:rPr>
          <w:rFonts w:eastAsia="游明朝"/>
          <w:b/>
          <w:bCs/>
        </w:rPr>
        <w:t>Propos</w:t>
      </w:r>
      <w:r w:rsidR="00AE13C2" w:rsidRPr="001E71F2">
        <w:rPr>
          <w:rFonts w:eastAsia="游明朝"/>
          <w:b/>
          <w:bCs/>
        </w:rPr>
        <w:t>al</w:t>
      </w:r>
      <w:r w:rsidR="001E71F2" w:rsidRPr="001E71F2">
        <w:rPr>
          <w:rFonts w:eastAsia="游明朝"/>
          <w:b/>
          <w:bCs/>
        </w:rPr>
        <w:t xml:space="preserve"> </w:t>
      </w:r>
      <w:proofErr w:type="gramStart"/>
      <w:r w:rsidR="001E71F2" w:rsidRPr="001E71F2">
        <w:rPr>
          <w:rFonts w:eastAsia="游明朝"/>
          <w:b/>
          <w:bCs/>
        </w:rPr>
        <w:t>1</w:t>
      </w:r>
      <w:r w:rsidRPr="001E71F2">
        <w:rPr>
          <w:rFonts w:eastAsia="游明朝"/>
          <w:b/>
          <w:bCs/>
        </w:rPr>
        <w:t xml:space="preserve"> :</w:t>
      </w:r>
      <w:proofErr w:type="gramEnd"/>
      <w:r w:rsidRPr="005F4302">
        <w:rPr>
          <w:rFonts w:eastAsia="游明朝"/>
        </w:rPr>
        <w:t xml:space="preserve"> For the PSAP resolution </w:t>
      </w:r>
      <w:r w:rsidR="00131D27">
        <w:rPr>
          <w:rFonts w:eastAsia="游明朝"/>
        </w:rPr>
        <w:t xml:space="preserve">use </w:t>
      </w:r>
      <w:r w:rsidRPr="005F4302">
        <w:rPr>
          <w:rFonts w:eastAsia="游明朝"/>
        </w:rPr>
        <w:t>case</w:t>
      </w:r>
      <w:r w:rsidR="005F4302" w:rsidRPr="005F4302">
        <w:rPr>
          <w:rFonts w:eastAsia="游明朝"/>
        </w:rPr>
        <w:t xml:space="preserve">, NWDAF </w:t>
      </w:r>
      <w:r w:rsidR="00934C54">
        <w:rPr>
          <w:rFonts w:eastAsia="游明朝"/>
        </w:rPr>
        <w:t>may</w:t>
      </w:r>
      <w:r w:rsidR="005F4302" w:rsidRPr="005F4302">
        <w:rPr>
          <w:rFonts w:eastAsia="游明朝"/>
        </w:rPr>
        <w:t xml:space="preserve"> provide the </w:t>
      </w:r>
      <w:r w:rsidR="005F4302">
        <w:rPr>
          <w:rFonts w:eastAsia="游明朝"/>
        </w:rPr>
        <w:t>“minim</w:t>
      </w:r>
      <w:r w:rsidR="00131D27">
        <w:rPr>
          <w:rFonts w:eastAsia="游明朝"/>
        </w:rPr>
        <w:t>al</w:t>
      </w:r>
      <w:r w:rsidR="005F4302">
        <w:rPr>
          <w:rFonts w:eastAsia="游明朝"/>
        </w:rPr>
        <w:t>”</w:t>
      </w:r>
      <w:r w:rsidRPr="005F4302">
        <w:rPr>
          <w:rFonts w:eastAsia="游明朝"/>
        </w:rPr>
        <w:t xml:space="preserve"> </w:t>
      </w:r>
      <w:r w:rsidR="005F4302" w:rsidRPr="005F4302">
        <w:rPr>
          <w:rFonts w:eastAsia="游明朝"/>
        </w:rPr>
        <w:t xml:space="preserve">output </w:t>
      </w:r>
      <w:r w:rsidR="00892C47" w:rsidRPr="005F4302">
        <w:rPr>
          <w:rFonts w:eastAsia="游明朝"/>
        </w:rPr>
        <w:t xml:space="preserve">without the </w:t>
      </w:r>
      <w:r w:rsidR="00892C47" w:rsidRPr="005F4302">
        <w:rPr>
          <w:lang w:eastAsia="ko-KR"/>
        </w:rPr>
        <w:t xml:space="preserve">Area of interest and </w:t>
      </w:r>
      <w:r w:rsidR="00892C47" w:rsidRPr="005F4302">
        <w:rPr>
          <w:rFonts w:eastAsia="游明朝" w:hint="eastAsia"/>
          <w:lang w:val="en-US"/>
        </w:rPr>
        <w:t>A</w:t>
      </w:r>
      <w:r w:rsidR="00892C47" w:rsidRPr="005F4302">
        <w:rPr>
          <w:rFonts w:eastAsia="游明朝"/>
          <w:lang w:val="en-US"/>
        </w:rPr>
        <w:t>nalytic target period</w:t>
      </w:r>
      <w:r w:rsidR="005F4302" w:rsidRPr="005F4302">
        <w:rPr>
          <w:rFonts w:eastAsia="游明朝"/>
          <w:lang w:val="en-US"/>
        </w:rPr>
        <w:t xml:space="preserve"> </w:t>
      </w:r>
      <w:r w:rsidR="001E71F2">
        <w:rPr>
          <w:rFonts w:eastAsia="游明朝"/>
          <w:lang w:val="en-US"/>
        </w:rPr>
        <w:t xml:space="preserve">indicate </w:t>
      </w:r>
      <w:r w:rsidR="005F4302" w:rsidRPr="005F4302">
        <w:rPr>
          <w:rFonts w:eastAsia="游明朝"/>
          <w:lang w:val="en-US"/>
        </w:rPr>
        <w:t>by the consumer</w:t>
      </w:r>
    </w:p>
    <w:p w14:paraId="42DB9D3F" w14:textId="26891B0E" w:rsidR="005F4302" w:rsidRPr="001E71F2" w:rsidRDefault="001E71F2" w:rsidP="00D732C5">
      <w:pPr>
        <w:rPr>
          <w:rFonts w:eastAsia="游明朝"/>
          <w:lang w:val="en-US"/>
        </w:rPr>
      </w:pPr>
      <w:r w:rsidRPr="001E71F2">
        <w:rPr>
          <w:rFonts w:eastAsia="游明朝"/>
          <w:b/>
          <w:bCs/>
        </w:rPr>
        <w:t xml:space="preserve">Proposal </w:t>
      </w:r>
      <w:proofErr w:type="gramStart"/>
      <w:r>
        <w:rPr>
          <w:rFonts w:eastAsia="游明朝"/>
          <w:b/>
          <w:bCs/>
        </w:rPr>
        <w:t xml:space="preserve">2 </w:t>
      </w:r>
      <w:r w:rsidRPr="001E71F2">
        <w:rPr>
          <w:rFonts w:eastAsia="游明朝"/>
          <w:b/>
          <w:bCs/>
        </w:rPr>
        <w:t>:</w:t>
      </w:r>
      <w:proofErr w:type="gramEnd"/>
      <w:r>
        <w:rPr>
          <w:rFonts w:eastAsia="游明朝"/>
          <w:lang w:val="en-US"/>
        </w:rPr>
        <w:t xml:space="preserve"> </w:t>
      </w:r>
      <w:r w:rsidRPr="005F4302">
        <w:rPr>
          <w:rFonts w:eastAsia="游明朝"/>
        </w:rPr>
        <w:t xml:space="preserve">For the PSAP resolution case, </w:t>
      </w:r>
      <w:r>
        <w:rPr>
          <w:rFonts w:eastAsia="游明朝"/>
        </w:rPr>
        <w:t>the consumer</w:t>
      </w:r>
      <w:r w:rsidRPr="005F4302">
        <w:rPr>
          <w:rFonts w:eastAsia="游明朝"/>
        </w:rPr>
        <w:t xml:space="preserve"> </w:t>
      </w:r>
      <w:r>
        <w:rPr>
          <w:rFonts w:eastAsia="游明朝"/>
        </w:rPr>
        <w:t>may</w:t>
      </w:r>
      <w:r w:rsidRPr="005F4302">
        <w:rPr>
          <w:rFonts w:eastAsia="游明朝"/>
        </w:rPr>
        <w:t xml:space="preserve"> </w:t>
      </w:r>
      <w:r w:rsidR="00934C54">
        <w:rPr>
          <w:rFonts w:eastAsia="游明朝"/>
        </w:rPr>
        <w:t>require such</w:t>
      </w:r>
      <w:r w:rsidRPr="005F4302">
        <w:rPr>
          <w:rFonts w:eastAsia="游明朝"/>
        </w:rPr>
        <w:t xml:space="preserve"> </w:t>
      </w:r>
      <w:r>
        <w:rPr>
          <w:rFonts w:eastAsia="游明朝"/>
        </w:rPr>
        <w:t>“minim</w:t>
      </w:r>
      <w:r w:rsidR="00131D27">
        <w:rPr>
          <w:rFonts w:eastAsia="游明朝"/>
        </w:rPr>
        <w:t>al</w:t>
      </w:r>
      <w:r>
        <w:rPr>
          <w:rFonts w:eastAsia="游明朝"/>
        </w:rPr>
        <w:t>”</w:t>
      </w:r>
      <w:r w:rsidRPr="005F4302">
        <w:rPr>
          <w:rFonts w:eastAsia="游明朝"/>
        </w:rPr>
        <w:t xml:space="preserve"> </w:t>
      </w:r>
      <w:r w:rsidR="00934C54">
        <w:rPr>
          <w:rFonts w:eastAsia="游明朝"/>
        </w:rPr>
        <w:t xml:space="preserve">output by indicating the new IE </w:t>
      </w:r>
    </w:p>
    <w:sectPr w:rsidR="005F4302" w:rsidRPr="001E71F2" w:rsidSect="009E6DD9">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4E062" w14:textId="77777777" w:rsidR="00F350DD" w:rsidRDefault="00F350DD">
      <w:pPr>
        <w:spacing w:after="0"/>
      </w:pPr>
      <w:r>
        <w:separator/>
      </w:r>
    </w:p>
  </w:endnote>
  <w:endnote w:type="continuationSeparator" w:id="0">
    <w:p w14:paraId="11F6B8ED" w14:textId="77777777" w:rsidR="00F350DD" w:rsidRDefault="00F350DD">
      <w:pPr>
        <w:spacing w:after="0"/>
      </w:pPr>
      <w:r>
        <w:continuationSeparator/>
      </w:r>
    </w:p>
  </w:endnote>
  <w:endnote w:type="continuationNotice" w:id="1">
    <w:p w14:paraId="2EE04F3C" w14:textId="77777777" w:rsidR="00F350DD" w:rsidRDefault="00F35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A268" w14:textId="77777777" w:rsidR="00F350DD" w:rsidRDefault="00F350DD">
      <w:pPr>
        <w:spacing w:after="0"/>
      </w:pPr>
      <w:r>
        <w:separator/>
      </w:r>
    </w:p>
  </w:footnote>
  <w:footnote w:type="continuationSeparator" w:id="0">
    <w:p w14:paraId="1D44912A" w14:textId="77777777" w:rsidR="00F350DD" w:rsidRDefault="00F350DD">
      <w:pPr>
        <w:spacing w:after="0"/>
      </w:pPr>
      <w:r>
        <w:continuationSeparator/>
      </w:r>
    </w:p>
  </w:footnote>
  <w:footnote w:type="continuationNotice" w:id="1">
    <w:p w14:paraId="0C4FC0D8" w14:textId="77777777" w:rsidR="00F350DD" w:rsidRDefault="00F35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1878813817">
    <w:abstractNumId w:val="4"/>
  </w:num>
  <w:num w:numId="2" w16cid:durableId="852569116">
    <w:abstractNumId w:val="15"/>
  </w:num>
  <w:num w:numId="3" w16cid:durableId="686752165">
    <w:abstractNumId w:val="17"/>
  </w:num>
  <w:num w:numId="4" w16cid:durableId="163673374">
    <w:abstractNumId w:val="2"/>
  </w:num>
  <w:num w:numId="5" w16cid:durableId="2018000017">
    <w:abstractNumId w:val="13"/>
  </w:num>
  <w:num w:numId="6" w16cid:durableId="1132749746">
    <w:abstractNumId w:val="8"/>
  </w:num>
  <w:num w:numId="7" w16cid:durableId="1364404430">
    <w:abstractNumId w:val="16"/>
  </w:num>
  <w:num w:numId="8" w16cid:durableId="694966572">
    <w:abstractNumId w:val="3"/>
  </w:num>
  <w:num w:numId="9" w16cid:durableId="1867450801">
    <w:abstractNumId w:val="10"/>
  </w:num>
  <w:num w:numId="10" w16cid:durableId="809253542">
    <w:abstractNumId w:val="12"/>
  </w:num>
  <w:num w:numId="11" w16cid:durableId="1624996712">
    <w:abstractNumId w:val="9"/>
  </w:num>
  <w:num w:numId="12" w16cid:durableId="571695121">
    <w:abstractNumId w:val="14"/>
  </w:num>
  <w:num w:numId="13" w16cid:durableId="1490713861">
    <w:abstractNumId w:val="6"/>
  </w:num>
  <w:num w:numId="14" w16cid:durableId="1742285370">
    <w:abstractNumId w:val="5"/>
  </w:num>
  <w:num w:numId="15" w16cid:durableId="898709441">
    <w:abstractNumId w:val="1"/>
  </w:num>
  <w:num w:numId="16" w16cid:durableId="684751478">
    <w:abstractNumId w:val="7"/>
  </w:num>
  <w:num w:numId="17" w16cid:durableId="7876969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6D"/>
    <w:rsid w:val="00015BBF"/>
    <w:rsid w:val="00015EDD"/>
    <w:rsid w:val="000162BB"/>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0FC"/>
    <w:rsid w:val="00025486"/>
    <w:rsid w:val="00025BD2"/>
    <w:rsid w:val="00025DC9"/>
    <w:rsid w:val="00026308"/>
    <w:rsid w:val="00026802"/>
    <w:rsid w:val="000268D2"/>
    <w:rsid w:val="00026901"/>
    <w:rsid w:val="00027504"/>
    <w:rsid w:val="00027619"/>
    <w:rsid w:val="00030465"/>
    <w:rsid w:val="000306DD"/>
    <w:rsid w:val="00030773"/>
    <w:rsid w:val="000307BB"/>
    <w:rsid w:val="00031AE5"/>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528"/>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A7A"/>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BE5"/>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D27"/>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29"/>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764"/>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3F0B"/>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56C8"/>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09A"/>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1F2"/>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25"/>
    <w:rsid w:val="001F35AF"/>
    <w:rsid w:val="001F3A21"/>
    <w:rsid w:val="001F3EA3"/>
    <w:rsid w:val="001F3FA3"/>
    <w:rsid w:val="001F4294"/>
    <w:rsid w:val="001F4850"/>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BE9"/>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4F5"/>
    <w:rsid w:val="003804DE"/>
    <w:rsid w:val="00380836"/>
    <w:rsid w:val="003808A8"/>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B3B"/>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21"/>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3CC"/>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071"/>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15"/>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04A"/>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262"/>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3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C7E96"/>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302"/>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4DFB"/>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9BA"/>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4E7"/>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CA4"/>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1B8"/>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57D96"/>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C47"/>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CE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B7C9E"/>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5F2C"/>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C5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37"/>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840"/>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5E6D"/>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1D28"/>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3EEF"/>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3C2"/>
    <w:rsid w:val="00AE2213"/>
    <w:rsid w:val="00AE2E83"/>
    <w:rsid w:val="00AE349B"/>
    <w:rsid w:val="00AE3553"/>
    <w:rsid w:val="00AE3665"/>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3D1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6E8"/>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B20"/>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5E6"/>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6B0"/>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1543"/>
    <w:rsid w:val="00C62268"/>
    <w:rsid w:val="00C623E3"/>
    <w:rsid w:val="00C6257F"/>
    <w:rsid w:val="00C62625"/>
    <w:rsid w:val="00C6282B"/>
    <w:rsid w:val="00C62A34"/>
    <w:rsid w:val="00C62BA9"/>
    <w:rsid w:val="00C62C6F"/>
    <w:rsid w:val="00C62CDF"/>
    <w:rsid w:val="00C63A7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44"/>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509"/>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22"/>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00C"/>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C03"/>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2AE"/>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7CA"/>
    <w:rsid w:val="00D63BB4"/>
    <w:rsid w:val="00D63F67"/>
    <w:rsid w:val="00D643A9"/>
    <w:rsid w:val="00D6444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B9"/>
    <w:rsid w:val="00D72CD2"/>
    <w:rsid w:val="00D72F16"/>
    <w:rsid w:val="00D732C5"/>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D79"/>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A61"/>
    <w:rsid w:val="00DD0444"/>
    <w:rsid w:val="00DD06FE"/>
    <w:rsid w:val="00DD0848"/>
    <w:rsid w:val="00DD0B51"/>
    <w:rsid w:val="00DD11BD"/>
    <w:rsid w:val="00DD1350"/>
    <w:rsid w:val="00DD1CA0"/>
    <w:rsid w:val="00DD2226"/>
    <w:rsid w:val="00DD234F"/>
    <w:rsid w:val="00DD27A8"/>
    <w:rsid w:val="00DD2AC7"/>
    <w:rsid w:val="00DD2D53"/>
    <w:rsid w:val="00DD2D8C"/>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1BEA"/>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5F3"/>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5DB"/>
    <w:rsid w:val="00E35FDB"/>
    <w:rsid w:val="00E3636E"/>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3FB"/>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680"/>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0E"/>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5DF"/>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A4A"/>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A52"/>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2C5B"/>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0DD"/>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CB"/>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CB5"/>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CB1"/>
    <w:rsid w:val="00FA7DD5"/>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D9D"/>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66B"/>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qFormat/>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TAHChar">
    <w:name w:val="TAH Char"/>
    <w:qFormat/>
    <w:rsid w:val="0007452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1820353">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6703272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100587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08088307">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0395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5551272">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391998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7BE733-17DB-4C38-870F-66901CFA73A3}">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3187</Characters>
  <Application>Microsoft Office Word</Application>
  <DocSecurity>0</DocSecurity>
  <PresentationFormat/>
  <Lines>26</Lines>
  <Paragraphs>7</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rev3</cp:lastModifiedBy>
  <cp:revision>2</cp:revision>
  <dcterms:created xsi:type="dcterms:W3CDTF">2023-01-06T01:22:00Z</dcterms:created>
  <dcterms:modified xsi:type="dcterms:W3CDTF">2023-01-06T01:22:00Z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